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813F" w14:textId="559C57A6" w:rsidR="00E1300E" w:rsidRDefault="00DA5190" w:rsidP="00DA5190">
      <w:pPr>
        <w:jc w:val="center"/>
      </w:pPr>
      <w:r>
        <w:t>Week 8 Handout</w:t>
      </w:r>
    </w:p>
    <w:p w14:paraId="69DB4F99" w14:textId="77777777" w:rsidR="00A70561" w:rsidRDefault="00A70561" w:rsidP="00DA5190">
      <w:pPr>
        <w:jc w:val="center"/>
      </w:pPr>
    </w:p>
    <w:p w14:paraId="2BC97BA7" w14:textId="7F44625F" w:rsidR="007F04E3" w:rsidRDefault="007F04E3" w:rsidP="00DA5190">
      <w:pPr>
        <w:jc w:val="center"/>
      </w:pPr>
      <w:r>
        <w:t>The Metaphysics of Linguistic Expressions:</w:t>
      </w:r>
    </w:p>
    <w:p w14:paraId="39AD8AD4" w14:textId="500D5D84" w:rsidR="00DA5190" w:rsidRDefault="00140237" w:rsidP="00DA5190">
      <w:pPr>
        <w:jc w:val="center"/>
      </w:pPr>
      <w:r>
        <w:t xml:space="preserve">Anaphora and </w:t>
      </w:r>
      <w:r w:rsidR="00DA5190">
        <w:t>Tokening-Recurrence Structures</w:t>
      </w:r>
    </w:p>
    <w:p w14:paraId="11A6DA02" w14:textId="49064310" w:rsidR="00DA5190" w:rsidRDefault="00DA5190" w:rsidP="00DA5190"/>
    <w:p w14:paraId="10478978" w14:textId="0FB9D4FF" w:rsidR="00DA5190" w:rsidRDefault="00140237" w:rsidP="00DA5190">
      <w:r>
        <w:t xml:space="preserve">ISA semantics: </w:t>
      </w:r>
      <w:r w:rsidRPr="00140237">
        <w:rPr>
          <w:u w:val="single"/>
        </w:rPr>
        <w:t>I</w:t>
      </w:r>
      <w:r>
        <w:t xml:space="preserve">nference, </w:t>
      </w:r>
      <w:r w:rsidRPr="00140237">
        <w:rPr>
          <w:u w:val="single"/>
        </w:rPr>
        <w:t>S</w:t>
      </w:r>
      <w:r>
        <w:t xml:space="preserve">ubstitution, and </w:t>
      </w:r>
      <w:r w:rsidRPr="00140237">
        <w:rPr>
          <w:u w:val="single"/>
        </w:rPr>
        <w:t>A</w:t>
      </w:r>
      <w:r>
        <w:t>naphora</w:t>
      </w:r>
    </w:p>
    <w:p w14:paraId="5173543D" w14:textId="672CFB99" w:rsidR="00DA5190" w:rsidRDefault="00DA5190" w:rsidP="00DA5190"/>
    <w:p w14:paraId="56A417F1" w14:textId="4F5890B7" w:rsidR="009C6003" w:rsidRDefault="009C6003" w:rsidP="009C6003">
      <w:r>
        <w:t>Two transcendental questions:</w:t>
      </w:r>
    </w:p>
    <w:p w14:paraId="70376917" w14:textId="77777777" w:rsidR="009C6003" w:rsidRDefault="009C6003" w:rsidP="009C6003">
      <w:pPr>
        <w:pStyle w:val="ListParagraph"/>
        <w:numPr>
          <w:ilvl w:val="0"/>
          <w:numId w:val="9"/>
        </w:numPr>
        <w:spacing w:line="259" w:lineRule="auto"/>
        <w:ind w:left="0" w:firstLine="0"/>
      </w:pPr>
      <w:r>
        <w:t>There are two actual forms of tokening-recurrence structures: cotypicality equivalence classes and anaphoric trees.  Need a language exhibit both of these forms?  Could there be any other such forms?</w:t>
      </w:r>
    </w:p>
    <w:p w14:paraId="18C790D1" w14:textId="77777777" w:rsidR="009C6003" w:rsidRDefault="009C6003" w:rsidP="009C6003">
      <w:pPr>
        <w:pStyle w:val="ListParagraph"/>
        <w:numPr>
          <w:ilvl w:val="0"/>
          <w:numId w:val="9"/>
        </w:numPr>
        <w:spacing w:line="259" w:lineRule="auto"/>
        <w:ind w:left="0" w:firstLine="0"/>
      </w:pPr>
      <w:r>
        <w:t>Within the anaphoric form of TRS: Generate a chart of 8 possible roles expressions can play in such structures.  It is easy to find examples of 7 of them.  Looking closely at the 8</w:t>
      </w:r>
      <w:r w:rsidRPr="005C3B85">
        <w:rPr>
          <w:vertAlign w:val="superscript"/>
        </w:rPr>
        <w:t>th</w:t>
      </w:r>
      <w:r>
        <w:t xml:space="preserve"> yields a surprise!</w:t>
      </w:r>
    </w:p>
    <w:p w14:paraId="29A302C4" w14:textId="6DADD9DD" w:rsidR="00DA5190" w:rsidRDefault="00DA5190" w:rsidP="00DA5190"/>
    <w:p w14:paraId="0B6775DA" w14:textId="77777777" w:rsidR="00DE5265" w:rsidRPr="00DE5265" w:rsidRDefault="00DE5265" w:rsidP="00DE5265">
      <w:pPr>
        <w:autoSpaceDE w:val="0"/>
        <w:autoSpaceDN w:val="0"/>
        <w:adjustRightInd w:val="0"/>
        <w:spacing w:line="240" w:lineRule="auto"/>
        <w:rPr>
          <w:rFonts w:cs="Times New Roman"/>
          <w:szCs w:val="24"/>
        </w:rPr>
      </w:pPr>
      <w:r w:rsidRPr="00DE5265">
        <w:rPr>
          <w:rFonts w:cs="Times New Roman"/>
          <w:szCs w:val="24"/>
        </w:rPr>
        <w:t>#A man in a brown suit approached me on the street yesterday and offered to buy my briefcase. When I declined to sell it, the man doubled his offer. Since he wanted the case so badly, I sold</w:t>
      </w:r>
    </w:p>
    <w:p w14:paraId="1B20EBE3" w14:textId="77777777" w:rsidR="00DE5265" w:rsidRPr="00DE5265" w:rsidRDefault="00DE5265" w:rsidP="00DE5265">
      <w:pPr>
        <w:autoSpaceDE w:val="0"/>
        <w:autoSpaceDN w:val="0"/>
        <w:adjustRightInd w:val="0"/>
        <w:spacing w:line="240" w:lineRule="auto"/>
        <w:rPr>
          <w:rFonts w:cs="Times New Roman"/>
          <w:szCs w:val="24"/>
        </w:rPr>
      </w:pPr>
      <w:r w:rsidRPr="00DE5265">
        <w:rPr>
          <w:rFonts w:cs="Times New Roman"/>
          <w:szCs w:val="24"/>
        </w:rPr>
        <w:t>it to him.#</w:t>
      </w:r>
    </w:p>
    <w:p w14:paraId="59062613" w14:textId="77777777" w:rsidR="00DE5265" w:rsidRPr="00DE5265" w:rsidRDefault="00DE5265" w:rsidP="00DE5265">
      <w:pPr>
        <w:autoSpaceDE w:val="0"/>
        <w:autoSpaceDN w:val="0"/>
        <w:adjustRightInd w:val="0"/>
        <w:spacing w:line="240" w:lineRule="auto"/>
        <w:rPr>
          <w:rFonts w:cs="Times New Roman"/>
          <w:szCs w:val="24"/>
        </w:rPr>
      </w:pPr>
      <w:r w:rsidRPr="00DE5265">
        <w:rPr>
          <w:rFonts w:cs="Times New Roman"/>
          <w:szCs w:val="24"/>
        </w:rPr>
        <w:t>Two anaphoric chains are intertwined here, one corresponding to the buyer, and one to the briefcase:</w:t>
      </w:r>
    </w:p>
    <w:p w14:paraId="5BEF9319" w14:textId="77777777" w:rsidR="00DE5265" w:rsidRPr="00DE5265" w:rsidRDefault="00DE5265" w:rsidP="00DE5265">
      <w:pPr>
        <w:autoSpaceDE w:val="0"/>
        <w:autoSpaceDN w:val="0"/>
        <w:adjustRightInd w:val="0"/>
        <w:spacing w:line="240" w:lineRule="auto"/>
        <w:rPr>
          <w:rFonts w:cs="Times New Roman"/>
          <w:szCs w:val="24"/>
        </w:rPr>
      </w:pPr>
      <w:r w:rsidRPr="00DE5265">
        <w:rPr>
          <w:rFonts w:cs="Times New Roman"/>
          <w:szCs w:val="24"/>
        </w:rPr>
        <w:t>A man in a brown suit ... the man ... he ... him</w:t>
      </w:r>
    </w:p>
    <w:p w14:paraId="10EB0B03" w14:textId="77777777" w:rsidR="00DE5265" w:rsidRPr="00DE5265" w:rsidRDefault="00DE5265" w:rsidP="00DE5265">
      <w:pPr>
        <w:autoSpaceDE w:val="0"/>
        <w:autoSpaceDN w:val="0"/>
        <w:adjustRightInd w:val="0"/>
        <w:spacing w:line="240" w:lineRule="auto"/>
        <w:rPr>
          <w:rFonts w:cs="Times New Roman"/>
          <w:szCs w:val="24"/>
        </w:rPr>
      </w:pPr>
      <w:r w:rsidRPr="00DE5265">
        <w:rPr>
          <w:rFonts w:cs="Times New Roman"/>
          <w:szCs w:val="24"/>
        </w:rPr>
        <w:t>and</w:t>
      </w:r>
    </w:p>
    <w:p w14:paraId="24123F45" w14:textId="77777777" w:rsidR="00DE5265" w:rsidRPr="00DE5265" w:rsidRDefault="00DE5265" w:rsidP="00DE5265">
      <w:pPr>
        <w:autoSpaceDE w:val="0"/>
        <w:autoSpaceDN w:val="0"/>
        <w:adjustRightInd w:val="0"/>
        <w:spacing w:line="240" w:lineRule="auto"/>
        <w:rPr>
          <w:rFonts w:cs="Times New Roman"/>
          <w:szCs w:val="24"/>
        </w:rPr>
      </w:pPr>
      <w:r w:rsidRPr="00DE5265">
        <w:rPr>
          <w:rFonts w:cs="Times New Roman"/>
          <w:szCs w:val="24"/>
        </w:rPr>
        <w:t>my briefcase ... it ... the case ... it.</w:t>
      </w:r>
    </w:p>
    <w:p w14:paraId="418BEA1F" w14:textId="07E23E59" w:rsidR="00DA5190" w:rsidRPr="00DE5265" w:rsidRDefault="00DE5265" w:rsidP="00DE5265">
      <w:pPr>
        <w:rPr>
          <w:szCs w:val="24"/>
        </w:rPr>
      </w:pPr>
      <w:r w:rsidRPr="00DE5265">
        <w:rPr>
          <w:rFonts w:cs="Times New Roman"/>
          <w:szCs w:val="24"/>
        </w:rPr>
        <w:t>The phenomenon may be indicated pre</w:t>
      </w:r>
      <w:r w:rsidR="00502E26">
        <w:rPr>
          <w:rFonts w:cs="Times New Roman"/>
          <w:szCs w:val="24"/>
        </w:rPr>
        <w:t>-</w:t>
      </w:r>
      <w:r w:rsidRPr="00DE5265">
        <w:rPr>
          <w:rFonts w:cs="Times New Roman"/>
          <w:szCs w:val="24"/>
        </w:rPr>
        <w:t xml:space="preserve">systematically by saying that the reference of later elements in such chains (here 'it' and 'the man') is secured only by the relations these elements stand in to the singular terms that initiate the chains in which they appear. This is the word-word (token-token) relation of </w:t>
      </w:r>
      <w:r w:rsidRPr="00DE5265">
        <w:rPr>
          <w:rFonts w:cs="Times New Roman"/>
          <w:i/>
          <w:iCs/>
          <w:szCs w:val="24"/>
        </w:rPr>
        <w:t xml:space="preserve">anaphoric reference </w:t>
      </w:r>
      <w:r w:rsidRPr="00DE5265">
        <w:rPr>
          <w:rFonts w:cs="Times New Roman"/>
          <w:szCs w:val="24"/>
        </w:rPr>
        <w:t xml:space="preserve">or </w:t>
      </w:r>
      <w:r w:rsidRPr="00DE5265">
        <w:rPr>
          <w:rFonts w:cs="Times New Roman"/>
          <w:i/>
          <w:iCs/>
          <w:szCs w:val="24"/>
        </w:rPr>
        <w:t>anaphoric dependence.</w:t>
      </w:r>
    </w:p>
    <w:p w14:paraId="62610E6D" w14:textId="0D7E7F8D" w:rsidR="00DA5190" w:rsidRDefault="00DA5190" w:rsidP="00DA5190"/>
    <w:p w14:paraId="48F005EF" w14:textId="572481B6" w:rsidR="00502E26" w:rsidRDefault="007A3823" w:rsidP="00DA5190">
      <w:r w:rsidRPr="007A3823">
        <w:rPr>
          <w:u w:val="single"/>
        </w:rPr>
        <w:t>Chastain</w:t>
      </w:r>
      <w:r>
        <w:rPr>
          <w:u w:val="single"/>
        </w:rPr>
        <w:t>’s first point</w:t>
      </w:r>
      <w:r w:rsidRPr="007A3823">
        <w:rPr>
          <w:u w:val="single"/>
        </w:rPr>
        <w:t>, on indefinite descriptions</w:t>
      </w:r>
      <w:r>
        <w:t>:</w:t>
      </w:r>
    </w:p>
    <w:p w14:paraId="016C8A9D" w14:textId="0B36A4AE" w:rsidR="007A3823" w:rsidRPr="007A3823" w:rsidRDefault="007A3823" w:rsidP="00830ABA">
      <w:pPr>
        <w:autoSpaceDE w:val="0"/>
        <w:autoSpaceDN w:val="0"/>
        <w:adjustRightInd w:val="0"/>
        <w:rPr>
          <w:rFonts w:cs="Times New Roman"/>
          <w:szCs w:val="24"/>
        </w:rPr>
      </w:pPr>
      <w:r w:rsidRPr="007A3823">
        <w:rPr>
          <w:rFonts w:cs="Times New Roman"/>
          <w:szCs w:val="24"/>
        </w:rPr>
        <w:t>Since Russell's discussions early in the century, indefinite descriptions have been treated as though they were not singular referring expressions at all, but rather to be understood by means of a quantificational paraphrase. The presence of an indefinite description often does signal existential quantification rather than singular reference as the proper semantic construal, but Chastain points out that the role of indefinite descriptions in anaphoric chains indicates that these expressions can also have a purely referential function. As in the example above, an indefinite description can initiate an anaphoric chain, which may then be continued by pronouns or definite descriptions. And it seems clear that, in the context in which it occurs above, 'a man' purports to refer to a unique individual, namely the man in the brown suit who approached me on the street yesterday and eventually purchased my briefcase.</w:t>
      </w:r>
    </w:p>
    <w:p w14:paraId="64D391D8" w14:textId="7425075C" w:rsidR="00B04BD9" w:rsidRDefault="00B04BD9" w:rsidP="00DA5190">
      <w:pPr>
        <w:rPr>
          <w:u w:val="single"/>
        </w:rPr>
      </w:pPr>
    </w:p>
    <w:p w14:paraId="4B984EAB" w14:textId="63D671C1" w:rsidR="00A70561" w:rsidRDefault="00A70561" w:rsidP="00DA5190">
      <w:pPr>
        <w:rPr>
          <w:u w:val="single"/>
        </w:rPr>
      </w:pPr>
    </w:p>
    <w:p w14:paraId="34D6D80C" w14:textId="77777777" w:rsidR="00A70561" w:rsidRDefault="00A70561" w:rsidP="00DA5190">
      <w:pPr>
        <w:rPr>
          <w:u w:val="single"/>
        </w:rPr>
      </w:pPr>
      <w:bookmarkStart w:id="0" w:name="_GoBack"/>
      <w:bookmarkEnd w:id="0"/>
    </w:p>
    <w:p w14:paraId="70C58ABE" w14:textId="1B7EA6D9" w:rsidR="007A3823" w:rsidRDefault="007A3823" w:rsidP="00DA5190">
      <w:pPr>
        <w:rPr>
          <w:u w:val="single"/>
        </w:rPr>
      </w:pPr>
      <w:r>
        <w:rPr>
          <w:u w:val="single"/>
        </w:rPr>
        <w:lastRenderedPageBreak/>
        <w:t>Chastain’s second point, on intersubstitution:</w:t>
      </w:r>
    </w:p>
    <w:p w14:paraId="44170F79" w14:textId="3572C7C6" w:rsidR="007A3823" w:rsidRPr="007A3823" w:rsidRDefault="007A3823" w:rsidP="00DA5190">
      <w:pPr>
        <w:rPr>
          <w:rFonts w:cs="Times New Roman"/>
          <w:szCs w:val="24"/>
          <w:u w:val="single"/>
        </w:rPr>
      </w:pPr>
      <w:r>
        <w:rPr>
          <w:rFonts w:cs="Times New Roman"/>
          <w:szCs w:val="24"/>
        </w:rPr>
        <w:t>T</w:t>
      </w:r>
      <w:r w:rsidRPr="007A3823">
        <w:rPr>
          <w:rFonts w:cs="Times New Roman"/>
          <w:szCs w:val="24"/>
        </w:rPr>
        <w:t>he reason that apparently nonquantificational uses of indefinite descriptions have not been thought of as straightforwardly referential is that they do not behave enough like proper names, the paradigm of singular terms. Except under deviant circumstances, if a proper name is used somewhere in a discourse invoking a particular referent, then other tokens of that same type which appear elsewhere in the discourse will be coreferential with it, in a sense that can be explained in terms of intersubstitution.</w:t>
      </w:r>
    </w:p>
    <w:p w14:paraId="22BCDA08" w14:textId="42052F29" w:rsidR="00DA5190" w:rsidRDefault="00DA5190" w:rsidP="00DA5190"/>
    <w:p w14:paraId="5BEF11F5" w14:textId="7D90CA94" w:rsidR="00DA5190" w:rsidRDefault="00DA5190" w:rsidP="00DA5190"/>
    <w:p w14:paraId="5F8C64E1" w14:textId="77777777" w:rsidR="00DA5190" w:rsidRDefault="00DA5190" w:rsidP="00DA5190">
      <w:pPr>
        <w:pStyle w:val="Numbered"/>
        <w:numPr>
          <w:ilvl w:val="0"/>
          <w:numId w:val="0"/>
        </w:numPr>
      </w:pPr>
    </w:p>
    <w:tbl>
      <w:tblPr>
        <w:tblStyle w:val="GridTable1Light"/>
        <w:tblW w:w="9117" w:type="dxa"/>
        <w:tblLook w:val="04A0" w:firstRow="1" w:lastRow="0" w:firstColumn="1" w:lastColumn="0" w:noHBand="0" w:noVBand="1"/>
      </w:tblPr>
      <w:tblGrid>
        <w:gridCol w:w="2605"/>
        <w:gridCol w:w="3150"/>
        <w:gridCol w:w="3362"/>
      </w:tblGrid>
      <w:tr w:rsidR="00DA5190" w14:paraId="0634AC9A" w14:textId="77777777" w:rsidTr="005E0016">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605" w:type="dxa"/>
          </w:tcPr>
          <w:p w14:paraId="2806F34A" w14:textId="77777777" w:rsidR="00DA5190" w:rsidRPr="00B022B2" w:rsidRDefault="00DA5190" w:rsidP="00FE26F7">
            <w:pPr>
              <w:pStyle w:val="Numbered"/>
              <w:numPr>
                <w:ilvl w:val="0"/>
                <w:numId w:val="0"/>
              </w:numPr>
              <w:rPr>
                <w:sz w:val="28"/>
                <w:szCs w:val="28"/>
              </w:rPr>
            </w:pPr>
            <w:r w:rsidRPr="00B022B2">
              <w:rPr>
                <w:sz w:val="28"/>
                <w:szCs w:val="28"/>
              </w:rPr>
              <w:t>Anaphoric Initiators</w:t>
            </w:r>
          </w:p>
        </w:tc>
        <w:tc>
          <w:tcPr>
            <w:tcW w:w="3150" w:type="dxa"/>
          </w:tcPr>
          <w:p w14:paraId="2DB038C6" w14:textId="77777777" w:rsidR="00DA5190" w:rsidRPr="00CD53F4" w:rsidRDefault="00DA5190" w:rsidP="00FE26F7">
            <w:pPr>
              <w:pStyle w:val="Numbered"/>
              <w:numPr>
                <w:ilvl w:val="0"/>
                <w:numId w:val="0"/>
              </w:numPr>
              <w:cnfStyle w:val="100000000000" w:firstRow="1" w:lastRow="0" w:firstColumn="0" w:lastColumn="0" w:oddVBand="0" w:evenVBand="0" w:oddHBand="0" w:evenHBand="0" w:firstRowFirstColumn="0" w:firstRowLastColumn="0" w:lastRowFirstColumn="0" w:lastRowLastColumn="0"/>
              <w:rPr>
                <w:u w:val="single"/>
              </w:rPr>
            </w:pPr>
            <w:r>
              <w:rPr>
                <w:u w:val="single"/>
              </w:rPr>
              <w:t>Lexically Simple</w:t>
            </w:r>
          </w:p>
        </w:tc>
        <w:tc>
          <w:tcPr>
            <w:tcW w:w="3362" w:type="dxa"/>
          </w:tcPr>
          <w:p w14:paraId="5C7EC411" w14:textId="77777777" w:rsidR="00DA5190" w:rsidRPr="00CD53F4" w:rsidRDefault="00DA5190" w:rsidP="00FE26F7">
            <w:pPr>
              <w:pStyle w:val="Numbered"/>
              <w:numPr>
                <w:ilvl w:val="0"/>
                <w:numId w:val="0"/>
              </w:numPr>
              <w:cnfStyle w:val="100000000000" w:firstRow="1" w:lastRow="0" w:firstColumn="0" w:lastColumn="0" w:oddVBand="0" w:evenVBand="0" w:oddHBand="0" w:evenHBand="0" w:firstRowFirstColumn="0" w:firstRowLastColumn="0" w:lastRowFirstColumn="0" w:lastRowLastColumn="0"/>
              <w:rPr>
                <w:u w:val="single"/>
              </w:rPr>
            </w:pPr>
            <w:r>
              <w:rPr>
                <w:u w:val="single"/>
              </w:rPr>
              <w:t>Lexically Complex</w:t>
            </w:r>
          </w:p>
        </w:tc>
      </w:tr>
      <w:tr w:rsidR="00DA5190" w14:paraId="3359FE9B" w14:textId="77777777" w:rsidTr="005E0016">
        <w:trPr>
          <w:trHeight w:val="1001"/>
        </w:trPr>
        <w:tc>
          <w:tcPr>
            <w:cnfStyle w:val="001000000000" w:firstRow="0" w:lastRow="0" w:firstColumn="1" w:lastColumn="0" w:oddVBand="0" w:evenVBand="0" w:oddHBand="0" w:evenHBand="0" w:firstRowFirstColumn="0" w:firstRowLastColumn="0" w:lastRowFirstColumn="0" w:lastRowLastColumn="0"/>
            <w:tcW w:w="2605" w:type="dxa"/>
          </w:tcPr>
          <w:p w14:paraId="2DCE3D0E" w14:textId="77777777" w:rsidR="00DA5190" w:rsidRDefault="00DA5190" w:rsidP="00FE26F7">
            <w:pPr>
              <w:pStyle w:val="Numbered"/>
              <w:numPr>
                <w:ilvl w:val="0"/>
                <w:numId w:val="0"/>
              </w:numPr>
              <w:rPr>
                <w:u w:val="single"/>
              </w:rPr>
            </w:pPr>
            <w:r>
              <w:rPr>
                <w:u w:val="single"/>
              </w:rPr>
              <w:t>Cotypical Tokens</w:t>
            </w:r>
          </w:p>
          <w:p w14:paraId="5C0902E6" w14:textId="40958EB6" w:rsidR="00DA5190" w:rsidRPr="00CD53F4" w:rsidRDefault="00DA5190" w:rsidP="00FE26F7">
            <w:pPr>
              <w:pStyle w:val="Numbered"/>
              <w:numPr>
                <w:ilvl w:val="0"/>
                <w:numId w:val="0"/>
              </w:numPr>
              <w:rPr>
                <w:u w:val="single"/>
              </w:rPr>
            </w:pPr>
            <w:r>
              <w:rPr>
                <w:u w:val="single"/>
              </w:rPr>
              <w:t xml:space="preserve"> Intersubstitutable</w:t>
            </w:r>
            <w:r w:rsidR="00C37CBD">
              <w:rPr>
                <w:u w:val="single"/>
              </w:rPr>
              <w:t>:</w:t>
            </w:r>
          </w:p>
        </w:tc>
        <w:tc>
          <w:tcPr>
            <w:tcW w:w="3150" w:type="dxa"/>
          </w:tcPr>
          <w:p w14:paraId="60C10FF6"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 xml:space="preserve">Ideal </w:t>
            </w:r>
            <w:r>
              <w:t>(e.g. logically)</w:t>
            </w:r>
          </w:p>
          <w:p w14:paraId="698E4B79"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Proper Names</w:t>
            </w:r>
            <w:r>
              <w:t>: ‘Leibniz’</w:t>
            </w:r>
          </w:p>
        </w:tc>
        <w:tc>
          <w:tcPr>
            <w:tcW w:w="3362" w:type="dxa"/>
          </w:tcPr>
          <w:p w14:paraId="12F24B82" w14:textId="77777777" w:rsidR="00DA5190" w:rsidRPr="00DE4312"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rPr>
                <w:i/>
              </w:rPr>
            </w:pPr>
            <w:r w:rsidRPr="00DE4312">
              <w:rPr>
                <w:i/>
              </w:rPr>
              <w:t xml:space="preserve">Russellian </w:t>
            </w:r>
          </w:p>
          <w:p w14:paraId="744778F0"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Definite Descriptions</w:t>
            </w:r>
            <w:r>
              <w:t>:</w:t>
            </w:r>
          </w:p>
          <w:p w14:paraId="74F790A9"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‘the natural satellite of Earth’,</w:t>
            </w:r>
          </w:p>
          <w:p w14:paraId="58759ECD"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‘the even prime number’</w:t>
            </w:r>
          </w:p>
        </w:tc>
      </w:tr>
      <w:tr w:rsidR="00DA5190" w14:paraId="67FEBF74" w14:textId="77777777" w:rsidTr="005E0016">
        <w:trPr>
          <w:trHeight w:val="1001"/>
        </w:trPr>
        <w:tc>
          <w:tcPr>
            <w:cnfStyle w:val="001000000000" w:firstRow="0" w:lastRow="0" w:firstColumn="1" w:lastColumn="0" w:oddVBand="0" w:evenVBand="0" w:oddHBand="0" w:evenHBand="0" w:firstRowFirstColumn="0" w:firstRowLastColumn="0" w:lastRowFirstColumn="0" w:lastRowLastColumn="0"/>
            <w:tcW w:w="2605" w:type="dxa"/>
          </w:tcPr>
          <w:p w14:paraId="1E895BE0" w14:textId="77777777" w:rsidR="00DA5190" w:rsidRDefault="00DA5190" w:rsidP="00FE26F7">
            <w:pPr>
              <w:pStyle w:val="Numbered"/>
              <w:numPr>
                <w:ilvl w:val="0"/>
                <w:numId w:val="0"/>
              </w:numPr>
              <w:rPr>
                <w:u w:val="single"/>
              </w:rPr>
            </w:pPr>
            <w:r>
              <w:rPr>
                <w:u w:val="single"/>
              </w:rPr>
              <w:t xml:space="preserve">Cotypical Tokens </w:t>
            </w:r>
          </w:p>
          <w:p w14:paraId="16965281" w14:textId="4490AB04" w:rsidR="00DA5190" w:rsidRPr="00CD53F4" w:rsidRDefault="00DA5190" w:rsidP="00FE26F7">
            <w:pPr>
              <w:pStyle w:val="Numbered"/>
              <w:numPr>
                <w:ilvl w:val="0"/>
                <w:numId w:val="0"/>
              </w:numPr>
              <w:rPr>
                <w:u w:val="single"/>
              </w:rPr>
            </w:pPr>
            <w:r>
              <w:rPr>
                <w:u w:val="single"/>
              </w:rPr>
              <w:t>NOT Intersubstitutable</w:t>
            </w:r>
            <w:r w:rsidR="00C37CBD">
              <w:rPr>
                <w:u w:val="single"/>
              </w:rPr>
              <w:t>:</w:t>
            </w:r>
          </w:p>
        </w:tc>
        <w:tc>
          <w:tcPr>
            <w:tcW w:w="3150" w:type="dxa"/>
          </w:tcPr>
          <w:p w14:paraId="1FE7E633" w14:textId="77777777" w:rsidR="00DA5190" w:rsidRPr="00DE4312"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rPr>
                <w:i/>
              </w:rPr>
            </w:pPr>
            <w:r w:rsidRPr="00DE4312">
              <w:rPr>
                <w:i/>
              </w:rPr>
              <w:t>Basic Indexicals</w:t>
            </w:r>
          </w:p>
          <w:p w14:paraId="1E76E302"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 xml:space="preserve">and </w:t>
            </w:r>
            <w:r w:rsidRPr="00DE4312">
              <w:rPr>
                <w:i/>
              </w:rPr>
              <w:t>Demonstratives</w:t>
            </w:r>
            <w:r>
              <w:t xml:space="preserve">: </w:t>
            </w:r>
          </w:p>
          <w:p w14:paraId="51EF8B35"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 xml:space="preserve">‘this’,‘that’,‘I’,’now’,‘here’ </w:t>
            </w:r>
          </w:p>
        </w:tc>
        <w:tc>
          <w:tcPr>
            <w:tcW w:w="3362" w:type="dxa"/>
          </w:tcPr>
          <w:p w14:paraId="6DBC5508"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 xml:space="preserve">Compound Indexicals </w:t>
            </w:r>
            <w:r w:rsidRPr="00DE4312">
              <w:t>and</w:t>
            </w:r>
            <w:r w:rsidRPr="00DE4312">
              <w:rPr>
                <w:i/>
              </w:rPr>
              <w:t xml:space="preserve"> Demonstratives</w:t>
            </w:r>
            <w:r>
              <w:t>:</w:t>
            </w:r>
          </w:p>
          <w:p w14:paraId="6D16F982"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‘my mother’s favorite color’,</w:t>
            </w:r>
          </w:p>
          <w:p w14:paraId="256ED5C2"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‘next Wednesday’s lottery number’</w:t>
            </w:r>
          </w:p>
          <w:p w14:paraId="280B2BC0"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Indefinite Descriptions</w:t>
            </w:r>
            <w:r>
              <w:t>:</w:t>
            </w:r>
          </w:p>
          <w:p w14:paraId="4F9A2809"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‘A Republican Senator’</w:t>
            </w:r>
          </w:p>
        </w:tc>
      </w:tr>
    </w:tbl>
    <w:p w14:paraId="3303AB58" w14:textId="77777777" w:rsidR="00DA5190" w:rsidRDefault="00DA5190" w:rsidP="00DA5190">
      <w:pPr>
        <w:pStyle w:val="Numbered"/>
        <w:numPr>
          <w:ilvl w:val="0"/>
          <w:numId w:val="0"/>
        </w:numPr>
      </w:pPr>
    </w:p>
    <w:p w14:paraId="2ED11F85" w14:textId="77777777" w:rsidR="00DA5190" w:rsidRDefault="00DA5190" w:rsidP="00DA5190">
      <w:pPr>
        <w:pStyle w:val="Numbered"/>
        <w:numPr>
          <w:ilvl w:val="0"/>
          <w:numId w:val="0"/>
        </w:numPr>
      </w:pPr>
    </w:p>
    <w:tbl>
      <w:tblPr>
        <w:tblStyle w:val="GridTable1Light"/>
        <w:tblW w:w="9117" w:type="dxa"/>
        <w:tblLook w:val="04A0" w:firstRow="1" w:lastRow="0" w:firstColumn="1" w:lastColumn="0" w:noHBand="0" w:noVBand="1"/>
      </w:tblPr>
      <w:tblGrid>
        <w:gridCol w:w="2605"/>
        <w:gridCol w:w="3150"/>
        <w:gridCol w:w="3362"/>
      </w:tblGrid>
      <w:tr w:rsidR="00DA5190" w14:paraId="33F996F1" w14:textId="77777777" w:rsidTr="005E0016">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605" w:type="dxa"/>
          </w:tcPr>
          <w:p w14:paraId="27B2EEE9" w14:textId="77777777" w:rsidR="00DA5190" w:rsidRPr="00B022B2" w:rsidRDefault="00DA5190" w:rsidP="00FE26F7">
            <w:pPr>
              <w:pStyle w:val="Numbered"/>
              <w:numPr>
                <w:ilvl w:val="0"/>
                <w:numId w:val="0"/>
              </w:numPr>
              <w:rPr>
                <w:sz w:val="28"/>
                <w:szCs w:val="28"/>
              </w:rPr>
            </w:pPr>
            <w:r w:rsidRPr="00B022B2">
              <w:rPr>
                <w:sz w:val="28"/>
                <w:szCs w:val="28"/>
              </w:rPr>
              <w:t>Anaphoric Dependents</w:t>
            </w:r>
          </w:p>
        </w:tc>
        <w:tc>
          <w:tcPr>
            <w:tcW w:w="3150" w:type="dxa"/>
          </w:tcPr>
          <w:p w14:paraId="16841FF6" w14:textId="77777777" w:rsidR="00DA5190" w:rsidRPr="00CD53F4" w:rsidRDefault="00DA5190" w:rsidP="00FE26F7">
            <w:pPr>
              <w:pStyle w:val="Numbered"/>
              <w:numPr>
                <w:ilvl w:val="0"/>
                <w:numId w:val="0"/>
              </w:numPr>
              <w:cnfStyle w:val="100000000000" w:firstRow="1" w:lastRow="0" w:firstColumn="0" w:lastColumn="0" w:oddVBand="0" w:evenVBand="0" w:oddHBand="0" w:evenHBand="0" w:firstRowFirstColumn="0" w:firstRowLastColumn="0" w:lastRowFirstColumn="0" w:lastRowLastColumn="0"/>
              <w:rPr>
                <w:u w:val="single"/>
              </w:rPr>
            </w:pPr>
            <w:r>
              <w:rPr>
                <w:u w:val="single"/>
              </w:rPr>
              <w:t>Lexically Simple</w:t>
            </w:r>
          </w:p>
        </w:tc>
        <w:tc>
          <w:tcPr>
            <w:tcW w:w="3362" w:type="dxa"/>
          </w:tcPr>
          <w:p w14:paraId="65CAE680" w14:textId="77777777" w:rsidR="00DA5190" w:rsidRPr="00CD53F4" w:rsidRDefault="00DA5190" w:rsidP="00FE26F7">
            <w:pPr>
              <w:pStyle w:val="Numbered"/>
              <w:numPr>
                <w:ilvl w:val="0"/>
                <w:numId w:val="0"/>
              </w:numPr>
              <w:cnfStyle w:val="100000000000" w:firstRow="1" w:lastRow="0" w:firstColumn="0" w:lastColumn="0" w:oddVBand="0" w:evenVBand="0" w:oddHBand="0" w:evenHBand="0" w:firstRowFirstColumn="0" w:firstRowLastColumn="0" w:lastRowFirstColumn="0" w:lastRowLastColumn="0"/>
              <w:rPr>
                <w:u w:val="single"/>
              </w:rPr>
            </w:pPr>
            <w:r>
              <w:rPr>
                <w:u w:val="single"/>
              </w:rPr>
              <w:t>Lexically Complex</w:t>
            </w:r>
          </w:p>
        </w:tc>
      </w:tr>
      <w:tr w:rsidR="00DA5190" w14:paraId="04122CD2" w14:textId="77777777" w:rsidTr="005E0016">
        <w:trPr>
          <w:trHeight w:val="1001"/>
        </w:trPr>
        <w:tc>
          <w:tcPr>
            <w:cnfStyle w:val="001000000000" w:firstRow="0" w:lastRow="0" w:firstColumn="1" w:lastColumn="0" w:oddVBand="0" w:evenVBand="0" w:oddHBand="0" w:evenHBand="0" w:firstRowFirstColumn="0" w:firstRowLastColumn="0" w:lastRowFirstColumn="0" w:lastRowLastColumn="0"/>
            <w:tcW w:w="2605" w:type="dxa"/>
          </w:tcPr>
          <w:p w14:paraId="0920583F" w14:textId="77777777" w:rsidR="00DA5190" w:rsidRDefault="00DA5190" w:rsidP="00FE26F7">
            <w:pPr>
              <w:pStyle w:val="Numbered"/>
              <w:numPr>
                <w:ilvl w:val="0"/>
                <w:numId w:val="0"/>
              </w:numPr>
              <w:rPr>
                <w:u w:val="single"/>
              </w:rPr>
            </w:pPr>
            <w:r>
              <w:rPr>
                <w:u w:val="single"/>
              </w:rPr>
              <w:t>Cotypical Tokens</w:t>
            </w:r>
          </w:p>
          <w:p w14:paraId="38E6214F" w14:textId="7CFD9C8E" w:rsidR="00DA5190" w:rsidRPr="00CD53F4" w:rsidRDefault="00DA5190" w:rsidP="00FE26F7">
            <w:pPr>
              <w:pStyle w:val="Numbered"/>
              <w:numPr>
                <w:ilvl w:val="0"/>
                <w:numId w:val="0"/>
              </w:numPr>
              <w:rPr>
                <w:u w:val="single"/>
              </w:rPr>
            </w:pPr>
            <w:r>
              <w:rPr>
                <w:u w:val="single"/>
              </w:rPr>
              <w:t xml:space="preserve"> Intersubstitutable</w:t>
            </w:r>
            <w:r w:rsidR="00C37CBD">
              <w:rPr>
                <w:u w:val="single"/>
              </w:rPr>
              <w:t>:</w:t>
            </w:r>
          </w:p>
        </w:tc>
        <w:tc>
          <w:tcPr>
            <w:tcW w:w="3150" w:type="dxa"/>
          </w:tcPr>
          <w:p w14:paraId="6F98A4EB"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Ideal Proper Names</w:t>
            </w:r>
            <w:r>
              <w:t xml:space="preserve">: </w:t>
            </w:r>
          </w:p>
          <w:p w14:paraId="4DFBC7AD"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‘Leibniz’</w:t>
            </w:r>
          </w:p>
        </w:tc>
        <w:tc>
          <w:tcPr>
            <w:tcW w:w="3362" w:type="dxa"/>
          </w:tcPr>
          <w:p w14:paraId="4F281EE0"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w:t>
            </w:r>
          </w:p>
          <w:p w14:paraId="513547D9"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 xml:space="preserve">[Anaphorically Indirect (Russellian) Definite Descriptions: ‘the poet referred to on p. 275 of </w:t>
            </w:r>
            <w:r>
              <w:rPr>
                <w:i/>
              </w:rPr>
              <w:t>MIE</w:t>
            </w:r>
            <w:r>
              <w:t>’ ]</w:t>
            </w:r>
          </w:p>
        </w:tc>
      </w:tr>
      <w:tr w:rsidR="00DA5190" w14:paraId="3DFADF71" w14:textId="77777777" w:rsidTr="005E0016">
        <w:trPr>
          <w:trHeight w:val="1001"/>
        </w:trPr>
        <w:tc>
          <w:tcPr>
            <w:cnfStyle w:val="001000000000" w:firstRow="0" w:lastRow="0" w:firstColumn="1" w:lastColumn="0" w:oddVBand="0" w:evenVBand="0" w:oddHBand="0" w:evenHBand="0" w:firstRowFirstColumn="0" w:firstRowLastColumn="0" w:lastRowFirstColumn="0" w:lastRowLastColumn="0"/>
            <w:tcW w:w="2605" w:type="dxa"/>
          </w:tcPr>
          <w:p w14:paraId="484E37B9" w14:textId="77777777" w:rsidR="00DA5190" w:rsidRDefault="00DA5190" w:rsidP="00FE26F7">
            <w:pPr>
              <w:pStyle w:val="Numbered"/>
              <w:numPr>
                <w:ilvl w:val="0"/>
                <w:numId w:val="0"/>
              </w:numPr>
              <w:rPr>
                <w:u w:val="single"/>
              </w:rPr>
            </w:pPr>
            <w:r>
              <w:rPr>
                <w:u w:val="single"/>
              </w:rPr>
              <w:t xml:space="preserve">Cotypical Tokens </w:t>
            </w:r>
          </w:p>
          <w:p w14:paraId="7BBCA053" w14:textId="286BE734" w:rsidR="00DA5190" w:rsidRPr="00CD53F4" w:rsidRDefault="00DA5190" w:rsidP="00FE26F7">
            <w:pPr>
              <w:pStyle w:val="Numbered"/>
              <w:numPr>
                <w:ilvl w:val="0"/>
                <w:numId w:val="0"/>
              </w:numPr>
              <w:rPr>
                <w:u w:val="single"/>
              </w:rPr>
            </w:pPr>
            <w:r>
              <w:rPr>
                <w:u w:val="single"/>
              </w:rPr>
              <w:t>NOT Intersubstitutable</w:t>
            </w:r>
            <w:r w:rsidR="00C37CBD">
              <w:rPr>
                <w:u w:val="single"/>
              </w:rPr>
              <w:t>:</w:t>
            </w:r>
          </w:p>
        </w:tc>
        <w:tc>
          <w:tcPr>
            <w:tcW w:w="3150" w:type="dxa"/>
          </w:tcPr>
          <w:p w14:paraId="0E5F947B"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Basic Pronouns</w:t>
            </w:r>
            <w:r>
              <w:t xml:space="preserve">: </w:t>
            </w:r>
          </w:p>
          <w:p w14:paraId="03CFDDC5"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 xml:space="preserve">‘he’, ‘she’, ‘it’ </w:t>
            </w:r>
          </w:p>
        </w:tc>
        <w:tc>
          <w:tcPr>
            <w:tcW w:w="3362" w:type="dxa"/>
          </w:tcPr>
          <w:p w14:paraId="587B930D" w14:textId="77777777" w:rsidR="00DA5190" w:rsidRPr="00DE4312"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rPr>
                <w:i/>
              </w:rPr>
            </w:pPr>
            <w:r w:rsidRPr="00DE4312">
              <w:rPr>
                <w:i/>
              </w:rPr>
              <w:t>Improper, Dependent</w:t>
            </w:r>
          </w:p>
          <w:p w14:paraId="17C53450"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rsidRPr="00DE4312">
              <w:rPr>
                <w:i/>
              </w:rPr>
              <w:t>Definite Descriptions</w:t>
            </w:r>
            <w:r>
              <w:t>:</w:t>
            </w:r>
          </w:p>
          <w:p w14:paraId="0374ABB2"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‘the Republican Senator’,</w:t>
            </w:r>
          </w:p>
          <w:p w14:paraId="2DEB7BD8" w14:textId="77777777" w:rsidR="00DA5190" w:rsidRDefault="00DA5190" w:rsidP="00FE26F7">
            <w:pPr>
              <w:pStyle w:val="Numbered"/>
              <w:numPr>
                <w:ilvl w:val="0"/>
                <w:numId w:val="0"/>
              </w:numPr>
              <w:cnfStyle w:val="000000000000" w:firstRow="0" w:lastRow="0" w:firstColumn="0" w:lastColumn="0" w:oddVBand="0" w:evenVBand="0" w:oddHBand="0" w:evenHBand="0" w:firstRowFirstColumn="0" w:firstRowLastColumn="0" w:lastRowFirstColumn="0" w:lastRowLastColumn="0"/>
            </w:pPr>
            <w:r>
              <w:t>‘the man’</w:t>
            </w:r>
          </w:p>
        </w:tc>
      </w:tr>
    </w:tbl>
    <w:p w14:paraId="36B88328" w14:textId="77777777" w:rsidR="00DA5190" w:rsidRDefault="00DA5190" w:rsidP="00DA5190">
      <w:pPr>
        <w:jc w:val="center"/>
      </w:pPr>
    </w:p>
    <w:p w14:paraId="4ECCD26F" w14:textId="22B1C651" w:rsidR="00DA5190" w:rsidRDefault="00DA5190" w:rsidP="00DA5190">
      <w:pPr>
        <w:jc w:val="center"/>
      </w:pPr>
    </w:p>
    <w:p w14:paraId="1911CAAC" w14:textId="77777777" w:rsidR="00DA5190" w:rsidRPr="004D05B9" w:rsidRDefault="00DA5190" w:rsidP="00DA5190"/>
    <w:sectPr w:rsidR="00DA5190" w:rsidRPr="004D05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B836" w14:textId="77777777" w:rsidR="00D660AF" w:rsidRDefault="00D660AF" w:rsidP="00651153">
      <w:pPr>
        <w:spacing w:line="240" w:lineRule="auto"/>
      </w:pPr>
      <w:r>
        <w:separator/>
      </w:r>
    </w:p>
  </w:endnote>
  <w:endnote w:type="continuationSeparator" w:id="0">
    <w:p w14:paraId="1271C6DE" w14:textId="77777777" w:rsidR="00D660AF" w:rsidRDefault="00D660AF" w:rsidP="0065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91753"/>
      <w:docPartObj>
        <w:docPartGallery w:val="Page Numbers (Bottom of Page)"/>
        <w:docPartUnique/>
      </w:docPartObj>
    </w:sdtPr>
    <w:sdtEndPr>
      <w:rPr>
        <w:noProof/>
        <w:sz w:val="18"/>
        <w:szCs w:val="18"/>
      </w:rPr>
    </w:sdtEndPr>
    <w:sdtContent>
      <w:p w14:paraId="368D5AE2" w14:textId="24F92812" w:rsidR="00651153" w:rsidRPr="00651153" w:rsidRDefault="00651153">
        <w:pPr>
          <w:pStyle w:val="Footer"/>
          <w:jc w:val="center"/>
          <w:rPr>
            <w:sz w:val="18"/>
            <w:szCs w:val="18"/>
          </w:rPr>
        </w:pPr>
        <w:r w:rsidRPr="00651153">
          <w:rPr>
            <w:sz w:val="18"/>
            <w:szCs w:val="18"/>
          </w:rPr>
          <w:fldChar w:fldCharType="begin"/>
        </w:r>
        <w:r w:rsidRPr="00651153">
          <w:rPr>
            <w:sz w:val="18"/>
            <w:szCs w:val="18"/>
          </w:rPr>
          <w:instrText xml:space="preserve"> PAGE   \* MERGEFORMAT </w:instrText>
        </w:r>
        <w:r w:rsidRPr="00651153">
          <w:rPr>
            <w:sz w:val="18"/>
            <w:szCs w:val="18"/>
          </w:rPr>
          <w:fldChar w:fldCharType="separate"/>
        </w:r>
        <w:r w:rsidR="00A70561">
          <w:rPr>
            <w:noProof/>
            <w:sz w:val="18"/>
            <w:szCs w:val="18"/>
          </w:rPr>
          <w:t>2</w:t>
        </w:r>
        <w:r w:rsidRPr="00651153">
          <w:rPr>
            <w:noProof/>
            <w:sz w:val="18"/>
            <w:szCs w:val="18"/>
          </w:rPr>
          <w:fldChar w:fldCharType="end"/>
        </w:r>
      </w:p>
    </w:sdtContent>
  </w:sdt>
  <w:p w14:paraId="67E46D63" w14:textId="77777777" w:rsidR="00651153" w:rsidRDefault="0065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D8FB9" w14:textId="77777777" w:rsidR="00D660AF" w:rsidRDefault="00D660AF" w:rsidP="00651153">
      <w:pPr>
        <w:spacing w:line="240" w:lineRule="auto"/>
      </w:pPr>
      <w:r>
        <w:separator/>
      </w:r>
    </w:p>
  </w:footnote>
  <w:footnote w:type="continuationSeparator" w:id="0">
    <w:p w14:paraId="38CF4D11" w14:textId="77777777" w:rsidR="00D660AF" w:rsidRDefault="00D660AF" w:rsidP="00651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154C" w14:textId="41FA1A18" w:rsidR="00A70561" w:rsidRPr="00A70561" w:rsidRDefault="00A70561">
    <w:pPr>
      <w:pStyle w:val="Header"/>
      <w:rPr>
        <w:sz w:val="20"/>
        <w:szCs w:val="20"/>
      </w:rPr>
    </w:pPr>
    <w:r w:rsidRPr="00A70561">
      <w:rPr>
        <w:sz w:val="20"/>
        <w:szCs w:val="20"/>
      </w:rPr>
      <w:tab/>
    </w:r>
    <w:r w:rsidRPr="00A70561">
      <w:rPr>
        <w:sz w:val="20"/>
        <w:szCs w:val="20"/>
      </w:rPr>
      <w:tab/>
      <w:t>Brandom</w:t>
    </w:r>
  </w:p>
  <w:p w14:paraId="0BB8319D" w14:textId="77777777" w:rsidR="00A70561" w:rsidRDefault="00A7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DF3"/>
    <w:multiLevelType w:val="hybridMultilevel"/>
    <w:tmpl w:val="634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2243"/>
    <w:multiLevelType w:val="hybridMultilevel"/>
    <w:tmpl w:val="527E0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7B9"/>
    <w:multiLevelType w:val="hybridMultilevel"/>
    <w:tmpl w:val="B01CA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4100"/>
    <w:multiLevelType w:val="hybridMultilevel"/>
    <w:tmpl w:val="3800E494"/>
    <w:lvl w:ilvl="0" w:tplc="B4AC9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303D6"/>
    <w:multiLevelType w:val="hybridMultilevel"/>
    <w:tmpl w:val="09820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921D8"/>
    <w:multiLevelType w:val="hybridMultilevel"/>
    <w:tmpl w:val="F0488E7A"/>
    <w:lvl w:ilvl="0" w:tplc="E18EAEA8">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45035"/>
    <w:multiLevelType w:val="hybridMultilevel"/>
    <w:tmpl w:val="7D22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42AC6"/>
    <w:multiLevelType w:val="hybridMultilevel"/>
    <w:tmpl w:val="22D0F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A5B11"/>
    <w:multiLevelType w:val="hybridMultilevel"/>
    <w:tmpl w:val="D30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7"/>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6"/>
    <w:rsid w:val="0008534D"/>
    <w:rsid w:val="000934D9"/>
    <w:rsid w:val="001327EA"/>
    <w:rsid w:val="00136C16"/>
    <w:rsid w:val="00140237"/>
    <w:rsid w:val="00140DE1"/>
    <w:rsid w:val="001B1295"/>
    <w:rsid w:val="001C1B62"/>
    <w:rsid w:val="00223B26"/>
    <w:rsid w:val="002619E7"/>
    <w:rsid w:val="00266AB7"/>
    <w:rsid w:val="002E3AB2"/>
    <w:rsid w:val="00311D9C"/>
    <w:rsid w:val="00323583"/>
    <w:rsid w:val="003C2271"/>
    <w:rsid w:val="003C5D1D"/>
    <w:rsid w:val="0044617C"/>
    <w:rsid w:val="00474A92"/>
    <w:rsid w:val="004919FD"/>
    <w:rsid w:val="00491AFE"/>
    <w:rsid w:val="004D05B9"/>
    <w:rsid w:val="004E5C81"/>
    <w:rsid w:val="00502E26"/>
    <w:rsid w:val="00503F23"/>
    <w:rsid w:val="005E0016"/>
    <w:rsid w:val="00611AEC"/>
    <w:rsid w:val="006365A3"/>
    <w:rsid w:val="00647B7C"/>
    <w:rsid w:val="00651153"/>
    <w:rsid w:val="00696856"/>
    <w:rsid w:val="006E781B"/>
    <w:rsid w:val="007136BE"/>
    <w:rsid w:val="00766781"/>
    <w:rsid w:val="00766A4F"/>
    <w:rsid w:val="007822D4"/>
    <w:rsid w:val="007A3823"/>
    <w:rsid w:val="007B3A27"/>
    <w:rsid w:val="007B78A0"/>
    <w:rsid w:val="007C5E22"/>
    <w:rsid w:val="007F04E3"/>
    <w:rsid w:val="00803B89"/>
    <w:rsid w:val="00803C52"/>
    <w:rsid w:val="0081554F"/>
    <w:rsid w:val="0081685D"/>
    <w:rsid w:val="0082400E"/>
    <w:rsid w:val="00830ABA"/>
    <w:rsid w:val="008511F3"/>
    <w:rsid w:val="00875486"/>
    <w:rsid w:val="008E5D0D"/>
    <w:rsid w:val="009C6003"/>
    <w:rsid w:val="00A3425F"/>
    <w:rsid w:val="00A4403B"/>
    <w:rsid w:val="00A70561"/>
    <w:rsid w:val="00A70910"/>
    <w:rsid w:val="00AD1DD2"/>
    <w:rsid w:val="00AD23FB"/>
    <w:rsid w:val="00B022B2"/>
    <w:rsid w:val="00B04BD9"/>
    <w:rsid w:val="00B308EB"/>
    <w:rsid w:val="00C37CBD"/>
    <w:rsid w:val="00C82458"/>
    <w:rsid w:val="00CB2CC0"/>
    <w:rsid w:val="00CB3989"/>
    <w:rsid w:val="00D01228"/>
    <w:rsid w:val="00D660AF"/>
    <w:rsid w:val="00DA39C3"/>
    <w:rsid w:val="00DA4535"/>
    <w:rsid w:val="00DA5190"/>
    <w:rsid w:val="00DE4312"/>
    <w:rsid w:val="00DE5265"/>
    <w:rsid w:val="00DF6157"/>
    <w:rsid w:val="00E1300E"/>
    <w:rsid w:val="00E4643C"/>
    <w:rsid w:val="00E510D4"/>
    <w:rsid w:val="00E545E0"/>
    <w:rsid w:val="00E60CDB"/>
    <w:rsid w:val="00EA6811"/>
    <w:rsid w:val="00EF6095"/>
    <w:rsid w:val="00F44E7E"/>
    <w:rsid w:val="00F86C34"/>
    <w:rsid w:val="00FA7187"/>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766D"/>
  <w15:docId w15:val="{241017BB-06E4-469F-B206-4A8A54C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56"/>
    <w:pPr>
      <w:spacing w:after="0"/>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11"/>
    <w:pPr>
      <w:ind w:left="720"/>
    </w:pPr>
  </w:style>
  <w:style w:type="paragraph" w:styleId="BalloonText">
    <w:name w:val="Balloon Text"/>
    <w:basedOn w:val="Normal"/>
    <w:link w:val="BalloonTextChar"/>
    <w:uiPriority w:val="99"/>
    <w:semiHidden/>
    <w:unhideWhenUsed/>
    <w:rsid w:val="00651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53"/>
    <w:rPr>
      <w:rFonts w:ascii="Tahoma" w:eastAsiaTheme="minorEastAsia" w:hAnsi="Tahoma" w:cs="Tahoma"/>
      <w:sz w:val="16"/>
      <w:szCs w:val="16"/>
    </w:rPr>
  </w:style>
  <w:style w:type="paragraph" w:styleId="Header">
    <w:name w:val="header"/>
    <w:basedOn w:val="Normal"/>
    <w:link w:val="HeaderChar"/>
    <w:uiPriority w:val="99"/>
    <w:unhideWhenUsed/>
    <w:rsid w:val="00651153"/>
    <w:pPr>
      <w:tabs>
        <w:tab w:val="center" w:pos="4680"/>
        <w:tab w:val="right" w:pos="9360"/>
      </w:tabs>
      <w:spacing w:line="240" w:lineRule="auto"/>
    </w:pPr>
  </w:style>
  <w:style w:type="character" w:customStyle="1" w:styleId="HeaderChar">
    <w:name w:val="Header Char"/>
    <w:basedOn w:val="DefaultParagraphFont"/>
    <w:link w:val="Header"/>
    <w:uiPriority w:val="99"/>
    <w:rsid w:val="00651153"/>
    <w:rPr>
      <w:rFonts w:ascii="Times New Roman" w:eastAsiaTheme="minorEastAsia" w:hAnsi="Times New Roman"/>
      <w:sz w:val="24"/>
    </w:rPr>
  </w:style>
  <w:style w:type="paragraph" w:styleId="Footer">
    <w:name w:val="footer"/>
    <w:basedOn w:val="Normal"/>
    <w:link w:val="FooterChar"/>
    <w:uiPriority w:val="99"/>
    <w:unhideWhenUsed/>
    <w:rsid w:val="00651153"/>
    <w:pPr>
      <w:tabs>
        <w:tab w:val="center" w:pos="4680"/>
        <w:tab w:val="right" w:pos="9360"/>
      </w:tabs>
      <w:spacing w:line="240" w:lineRule="auto"/>
    </w:pPr>
  </w:style>
  <w:style w:type="character" w:customStyle="1" w:styleId="FooterChar">
    <w:name w:val="Footer Char"/>
    <w:basedOn w:val="DefaultParagraphFont"/>
    <w:link w:val="Footer"/>
    <w:uiPriority w:val="99"/>
    <w:rsid w:val="00651153"/>
    <w:rPr>
      <w:rFonts w:ascii="Times New Roman" w:eastAsiaTheme="minorEastAsia" w:hAnsi="Times New Roman"/>
      <w:sz w:val="24"/>
    </w:rPr>
  </w:style>
  <w:style w:type="character" w:styleId="Hyperlink">
    <w:name w:val="Hyperlink"/>
    <w:basedOn w:val="DefaultParagraphFont"/>
    <w:uiPriority w:val="99"/>
    <w:unhideWhenUsed/>
    <w:rsid w:val="00491AFE"/>
    <w:rPr>
      <w:color w:val="0000FF" w:themeColor="hyperlink"/>
      <w:u w:val="single"/>
    </w:rPr>
  </w:style>
  <w:style w:type="character" w:customStyle="1" w:styleId="UnresolvedMention">
    <w:name w:val="Unresolved Mention"/>
    <w:basedOn w:val="DefaultParagraphFont"/>
    <w:uiPriority w:val="99"/>
    <w:semiHidden/>
    <w:unhideWhenUsed/>
    <w:rsid w:val="00474A92"/>
    <w:rPr>
      <w:color w:val="808080"/>
      <w:shd w:val="clear" w:color="auto" w:fill="E6E6E6"/>
    </w:rPr>
  </w:style>
  <w:style w:type="paragraph" w:customStyle="1" w:styleId="Numbered">
    <w:name w:val="Numbered"/>
    <w:basedOn w:val="Normal"/>
    <w:link w:val="NumberedChar"/>
    <w:qFormat/>
    <w:rsid w:val="00DA5190"/>
    <w:pPr>
      <w:numPr>
        <w:numId w:val="8"/>
      </w:numPr>
    </w:pPr>
    <w:rPr>
      <w:rFonts w:eastAsiaTheme="minorHAnsi"/>
    </w:rPr>
  </w:style>
  <w:style w:type="character" w:customStyle="1" w:styleId="NumberedChar">
    <w:name w:val="Numbered Char"/>
    <w:basedOn w:val="DefaultParagraphFont"/>
    <w:link w:val="Numbered"/>
    <w:rsid w:val="00DA5190"/>
    <w:rPr>
      <w:rFonts w:ascii="Times New Roman" w:hAnsi="Times New Roman"/>
      <w:sz w:val="24"/>
    </w:rPr>
  </w:style>
  <w:style w:type="table" w:styleId="TableGrid">
    <w:name w:val="Table Grid"/>
    <w:basedOn w:val="TableNormal"/>
    <w:uiPriority w:val="39"/>
    <w:rsid w:val="00DA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E00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6801">
      <w:bodyDiv w:val="1"/>
      <w:marLeft w:val="0"/>
      <w:marRight w:val="0"/>
      <w:marTop w:val="0"/>
      <w:marBottom w:val="0"/>
      <w:divBdr>
        <w:top w:val="none" w:sz="0" w:space="0" w:color="auto"/>
        <w:left w:val="none" w:sz="0" w:space="0" w:color="auto"/>
        <w:bottom w:val="none" w:sz="0" w:space="0" w:color="auto"/>
        <w:right w:val="none" w:sz="0" w:space="0" w:color="auto"/>
      </w:divBdr>
      <w:divsChild>
        <w:div w:id="629751998">
          <w:marLeft w:val="0"/>
          <w:marRight w:val="0"/>
          <w:marTop w:val="0"/>
          <w:marBottom w:val="0"/>
          <w:divBdr>
            <w:top w:val="none" w:sz="0" w:space="0" w:color="auto"/>
            <w:left w:val="none" w:sz="0" w:space="0" w:color="auto"/>
            <w:bottom w:val="none" w:sz="0" w:space="0" w:color="auto"/>
            <w:right w:val="none" w:sz="0" w:space="0" w:color="auto"/>
          </w:divBdr>
          <w:divsChild>
            <w:div w:id="1636138397">
              <w:marLeft w:val="0"/>
              <w:marRight w:val="0"/>
              <w:marTop w:val="0"/>
              <w:marBottom w:val="0"/>
              <w:divBdr>
                <w:top w:val="none" w:sz="0" w:space="0" w:color="auto"/>
                <w:left w:val="none" w:sz="0" w:space="0" w:color="auto"/>
                <w:bottom w:val="none" w:sz="0" w:space="0" w:color="auto"/>
                <w:right w:val="none" w:sz="0" w:space="0" w:color="auto"/>
              </w:divBdr>
            </w:div>
          </w:divsChild>
        </w:div>
        <w:div w:id="246234806">
          <w:marLeft w:val="0"/>
          <w:marRight w:val="0"/>
          <w:marTop w:val="0"/>
          <w:marBottom w:val="0"/>
          <w:divBdr>
            <w:top w:val="none" w:sz="0" w:space="0" w:color="auto"/>
            <w:left w:val="none" w:sz="0" w:space="0" w:color="auto"/>
            <w:bottom w:val="none" w:sz="0" w:space="0" w:color="auto"/>
            <w:right w:val="none" w:sz="0" w:space="0" w:color="auto"/>
          </w:divBdr>
        </w:div>
        <w:div w:id="619995350">
          <w:marLeft w:val="0"/>
          <w:marRight w:val="0"/>
          <w:marTop w:val="0"/>
          <w:marBottom w:val="0"/>
          <w:divBdr>
            <w:top w:val="none" w:sz="0" w:space="0" w:color="auto"/>
            <w:left w:val="none" w:sz="0" w:space="0" w:color="auto"/>
            <w:bottom w:val="none" w:sz="0" w:space="0" w:color="auto"/>
            <w:right w:val="none" w:sz="0" w:space="0" w:color="auto"/>
          </w:divBdr>
        </w:div>
      </w:divsChild>
    </w:div>
    <w:div w:id="1583181753">
      <w:bodyDiv w:val="1"/>
      <w:marLeft w:val="0"/>
      <w:marRight w:val="0"/>
      <w:marTop w:val="0"/>
      <w:marBottom w:val="0"/>
      <w:divBdr>
        <w:top w:val="none" w:sz="0" w:space="0" w:color="auto"/>
        <w:left w:val="none" w:sz="0" w:space="0" w:color="auto"/>
        <w:bottom w:val="none" w:sz="0" w:space="0" w:color="auto"/>
        <w:right w:val="none" w:sz="0" w:space="0" w:color="auto"/>
      </w:divBdr>
      <w:divsChild>
        <w:div w:id="1987124130">
          <w:marLeft w:val="0"/>
          <w:marRight w:val="0"/>
          <w:marTop w:val="0"/>
          <w:marBottom w:val="0"/>
          <w:divBdr>
            <w:top w:val="none" w:sz="0" w:space="0" w:color="auto"/>
            <w:left w:val="none" w:sz="0" w:space="0" w:color="auto"/>
            <w:bottom w:val="none" w:sz="0" w:space="0" w:color="auto"/>
            <w:right w:val="none" w:sz="0" w:space="0" w:color="auto"/>
          </w:divBdr>
        </w:div>
        <w:div w:id="2067415575">
          <w:marLeft w:val="0"/>
          <w:marRight w:val="0"/>
          <w:marTop w:val="0"/>
          <w:marBottom w:val="0"/>
          <w:divBdr>
            <w:top w:val="none" w:sz="0" w:space="0" w:color="auto"/>
            <w:left w:val="none" w:sz="0" w:space="0" w:color="auto"/>
            <w:bottom w:val="none" w:sz="0" w:space="0" w:color="auto"/>
            <w:right w:val="none" w:sz="0" w:space="0" w:color="auto"/>
          </w:divBdr>
        </w:div>
        <w:div w:id="984162558">
          <w:marLeft w:val="0"/>
          <w:marRight w:val="0"/>
          <w:marTop w:val="0"/>
          <w:marBottom w:val="0"/>
          <w:divBdr>
            <w:top w:val="none" w:sz="0" w:space="0" w:color="auto"/>
            <w:left w:val="none" w:sz="0" w:space="0" w:color="auto"/>
            <w:bottom w:val="none" w:sz="0" w:space="0" w:color="auto"/>
            <w:right w:val="none" w:sz="0" w:space="0" w:color="auto"/>
          </w:divBdr>
        </w:div>
      </w:divsChild>
    </w:div>
    <w:div w:id="1656107277">
      <w:bodyDiv w:val="1"/>
      <w:marLeft w:val="0"/>
      <w:marRight w:val="0"/>
      <w:marTop w:val="0"/>
      <w:marBottom w:val="0"/>
      <w:divBdr>
        <w:top w:val="none" w:sz="0" w:space="0" w:color="auto"/>
        <w:left w:val="none" w:sz="0" w:space="0" w:color="auto"/>
        <w:bottom w:val="none" w:sz="0" w:space="0" w:color="auto"/>
        <w:right w:val="none" w:sz="0" w:space="0" w:color="auto"/>
      </w:divBdr>
      <w:divsChild>
        <w:div w:id="1293172631">
          <w:marLeft w:val="0"/>
          <w:marRight w:val="0"/>
          <w:marTop w:val="0"/>
          <w:marBottom w:val="0"/>
          <w:divBdr>
            <w:top w:val="none" w:sz="0" w:space="0" w:color="auto"/>
            <w:left w:val="none" w:sz="0" w:space="0" w:color="auto"/>
            <w:bottom w:val="none" w:sz="0" w:space="0" w:color="auto"/>
            <w:right w:val="none" w:sz="0" w:space="0" w:color="auto"/>
          </w:divBdr>
          <w:divsChild>
            <w:div w:id="45956542">
              <w:marLeft w:val="0"/>
              <w:marRight w:val="0"/>
              <w:marTop w:val="0"/>
              <w:marBottom w:val="0"/>
              <w:divBdr>
                <w:top w:val="none" w:sz="0" w:space="0" w:color="auto"/>
                <w:left w:val="none" w:sz="0" w:space="0" w:color="auto"/>
                <w:bottom w:val="none" w:sz="0" w:space="0" w:color="auto"/>
                <w:right w:val="none" w:sz="0" w:space="0" w:color="auto"/>
              </w:divBdr>
            </w:div>
          </w:divsChild>
        </w:div>
        <w:div w:id="1147550065">
          <w:marLeft w:val="0"/>
          <w:marRight w:val="0"/>
          <w:marTop w:val="0"/>
          <w:marBottom w:val="0"/>
          <w:divBdr>
            <w:top w:val="none" w:sz="0" w:space="0" w:color="auto"/>
            <w:left w:val="none" w:sz="0" w:space="0" w:color="auto"/>
            <w:bottom w:val="none" w:sz="0" w:space="0" w:color="auto"/>
            <w:right w:val="none" w:sz="0" w:space="0" w:color="auto"/>
          </w:divBdr>
        </w:div>
        <w:div w:id="1924339880">
          <w:marLeft w:val="0"/>
          <w:marRight w:val="0"/>
          <w:marTop w:val="0"/>
          <w:marBottom w:val="0"/>
          <w:divBdr>
            <w:top w:val="none" w:sz="0" w:space="0" w:color="auto"/>
            <w:left w:val="none" w:sz="0" w:space="0" w:color="auto"/>
            <w:bottom w:val="none" w:sz="0" w:space="0" w:color="auto"/>
            <w:right w:val="none" w:sz="0" w:space="0" w:color="auto"/>
          </w:divBdr>
        </w:div>
      </w:divsChild>
    </w:div>
    <w:div w:id="1660958103">
      <w:bodyDiv w:val="1"/>
      <w:marLeft w:val="0"/>
      <w:marRight w:val="0"/>
      <w:marTop w:val="0"/>
      <w:marBottom w:val="0"/>
      <w:divBdr>
        <w:top w:val="none" w:sz="0" w:space="0" w:color="auto"/>
        <w:left w:val="none" w:sz="0" w:space="0" w:color="auto"/>
        <w:bottom w:val="none" w:sz="0" w:space="0" w:color="auto"/>
        <w:right w:val="none" w:sz="0" w:space="0" w:color="auto"/>
      </w:divBdr>
      <w:divsChild>
        <w:div w:id="618877008">
          <w:marLeft w:val="0"/>
          <w:marRight w:val="0"/>
          <w:marTop w:val="0"/>
          <w:marBottom w:val="0"/>
          <w:divBdr>
            <w:top w:val="none" w:sz="0" w:space="0" w:color="auto"/>
            <w:left w:val="none" w:sz="0" w:space="0" w:color="auto"/>
            <w:bottom w:val="none" w:sz="0" w:space="0" w:color="auto"/>
            <w:right w:val="none" w:sz="0" w:space="0" w:color="auto"/>
          </w:divBdr>
        </w:div>
        <w:div w:id="290986187">
          <w:marLeft w:val="0"/>
          <w:marRight w:val="0"/>
          <w:marTop w:val="0"/>
          <w:marBottom w:val="0"/>
          <w:divBdr>
            <w:top w:val="none" w:sz="0" w:space="0" w:color="auto"/>
            <w:left w:val="none" w:sz="0" w:space="0" w:color="auto"/>
            <w:bottom w:val="none" w:sz="0" w:space="0" w:color="auto"/>
            <w:right w:val="none" w:sz="0" w:space="0" w:color="auto"/>
          </w:divBdr>
        </w:div>
        <w:div w:id="199525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D4"/>
    <w:rsid w:val="00115DD4"/>
    <w:rsid w:val="00E6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B968785C344D6B829DCFBC41D61D3C">
    <w:name w:val="30B968785C344D6B829DCFBC41D61D3C"/>
    <w:rsid w:val="00115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Brandom, Robert</cp:lastModifiedBy>
  <cp:revision>2</cp:revision>
  <cp:lastPrinted>2017-05-23T16:42:00Z</cp:lastPrinted>
  <dcterms:created xsi:type="dcterms:W3CDTF">2018-10-17T15:21:00Z</dcterms:created>
  <dcterms:modified xsi:type="dcterms:W3CDTF">2018-10-17T15:21:00Z</dcterms:modified>
</cp:coreProperties>
</file>